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4"/>
        <w:gridCol w:w="300"/>
        <w:gridCol w:w="2600"/>
      </w:tblGrid>
      <w:tr>
        <w:trPr>
          <w:trHeight w:val="1500" w:hRule="atLeast"/>
        </w:trPr>
        <w:tc>
          <w:tcPr>
            <w:tcW w:type="dxa" w:w="6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F2A44"/>
                <w:sz w:val="36"/>
                <w:szCs w:val="36"/>
              </w:rPr>
              <w:t xml:space="preserve">AML DOTAZNÍK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952CC"/>
                <w:sz w:val="24"/>
                <w:szCs w:val="24"/>
              </w:rPr>
              <w:t xml:space="preserve">pre klientov účtovnej kancelárie</w:t>
            </w:r>
          </w:p>
          <w:p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Údaje, ktoré účtovná kancelária ako povinná osoba podľa § 5 ods. 1 písm. h) zákona č. 297/2008 Z. z. potrebuje na identifikáciu klienta a na starostlivosť vo vzťahu ku klientovi.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600"/>
            <w:tcBorders>
              <w:top w:val="dashed" w:color="C5CBD3" w:sz="6"/>
              <w:left w:val="dashed" w:color="C5CBD3" w:sz="6"/>
              <w:bottom w:val="dashed" w:color="C5CBD3" w:sz="6"/>
              <w:right w:val="dashed" w:color="C5CBD3" w:sz="6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Logo / pečiatka účtovnej kancelárie</w:t>
            </w:r>
          </w:p>
        </w:tc>
      </w:tr>
    </w:tbl>
    <w:p>
      <w:pPr>
        <w:pStyle w:val="Spacer"/>
        <w:spacing w:after="0" w:before="2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  <w:trHeight w:val="520" w:hRule="atLeast"/>
        </w:trPr>
        <w:tc>
          <w:tcPr>
            <w:tcW w:type="dxa" w:w="4932"/>
            <w:gridSpan w:val="6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Účtovná kancelária (obchodné meno, IČO)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466"/>
            <w:gridSpan w:val="3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Číslo klienta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466"/>
            <w:gridSpan w:val="3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Dátum vyplnenia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Typ klienta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obchodná spoločnosť alebo iná právnická osoba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SZČO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fyzická osoba – nepodnikateľ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Dôvod vyplnenia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nový klient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aktualizácia údajov existujúceho klienta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zmena vlastníka, štatutára alebo sídla</w:t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12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64"/>
      </w:tblGrid>
      <w:tr>
        <w:trPr>
          <w:cantSplit/>
        </w:trPr>
        <w:tc>
          <w:tcPr>
            <w:tcW w:type="dxa" w:w="9864"/>
            <w:tcBorders>
              <w:top w:val="none" w:color="FFFFFF" w:sz="0"/>
              <w:left w:val="single" w:color="2952CC" w:sz="36"/>
              <w:bottom w:val="none" w:color="FFFFFF" w:sz="0"/>
              <w:right w:val="none" w:color="FFFFFF" w:sz="0"/>
            </w:tcBorders>
            <w:shd w:fill="F5F7FA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F2A44"/>
                <w:sz w:val="17"/>
                <w:szCs w:val="17"/>
              </w:rPr>
              <w:t xml:space="preserve">Prečo dotazník dostávate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Účtovná kancelária je podľa AML zákona povinnou osobou. Pri každom klientovi musí zistiť a overiť jeho totožnosť, konečného užívateľa výhod a účel spolupráce a tieto údaje priebežne aktualizovať. Dotazník dostávajú všetci klienti, nesúvisí s nijakým podozrením.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Vyplňte ho vo Worde (políčka sa zaškrtávajú kliknutím) alebo paličkovým písmom. Časti 1 až 8 vyplní klient, časť 9 účtovná kancelária. Časti, ktoré sa vás netýkajú, preškrtnite.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Klient je povinný poskytnúť potrebné informácie a doklady (§ 10 ods. 5). Bez nich musí kancelária spoluprácu odmietnuť alebo ukončiť (§ 15).</w:t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26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Klient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7 ods. 1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  <w:trHeight w:val="520" w:hRule="atLeast"/>
        </w:trPr>
        <w:tc>
          <w:tcPr>
            <w:tcW w:type="dxa" w:w="6576"/>
            <w:gridSpan w:val="8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Obchodné meno alebo meno a priezvisko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IČO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Sídlo, miesto podnikania alebo bydlisko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Právna forma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DIČ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IČ DPH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Register a číslo zápisu (obchodný register: oddiel a vložka, živnostenský register: číslo)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Čím sa klient skutočne zaoberá (hlavná činnosť, odvetvie)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Webová stránka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Telefón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E-mail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Kontaktná osoba pre účtovníctvo (meno, telefón, e-mail)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26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Osoba konajúca za klienta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7 ods. 1 písm. a), § 8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p>
      <w:pPr>
        <w:spacing w:after="100" w:before="0"/>
      </w:pPr>
      <w:r>
        <w:rPr>
          <w:rFonts w:ascii="Arial" w:cs="Arial" w:eastAsia="Arial" w:hAnsi="Arial"/>
          <w:color w:val="374151"/>
          <w:sz w:val="15"/>
          <w:szCs w:val="15"/>
        </w:rPr>
        <w:t xml:space="preserve">Štatutár firmy, podnikateľ sám za seba alebo splnomocnenec. Ak za klienta koná viac osôb, údaje ďalších pripojte na samostatnom liste.</w:t>
      </w: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  <w:trHeight w:val="520" w:hRule="atLeast"/>
        </w:trPr>
        <w:tc>
          <w:tcPr>
            <w:tcW w:type="dxa" w:w="5754"/>
            <w:gridSpan w:val="7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Titul, meno a priezvisko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4110"/>
            <w:gridSpan w:val="5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Rodné číslo (ak nebolo pridelené, dátum narodenia)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Adresa trvalého alebo iného pobytu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466"/>
            <w:gridSpan w:val="3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Štátna príslušnosť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4932"/>
            <w:gridSpan w:val="6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Druh a číslo dokladu totožnosti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466"/>
            <w:gridSpan w:val="3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Platnosť dokladu do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Oprávnenie konať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štatutárny orgán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podnikateľ sám za seba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prokurista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splnomocnenec (priložte plnú moc)</w:t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pageBreakBefore/>
        <w:spacing w:after="0" w:before="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Koneční užívatelia výhod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6a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p>
      <w:pPr>
        <w:spacing w:after="100" w:before="0"/>
      </w:pPr>
      <w:r>
        <w:rPr>
          <w:rFonts w:ascii="Arial" w:cs="Arial" w:eastAsia="Arial" w:hAnsi="Arial"/>
          <w:color w:val="374151"/>
          <w:sz w:val="15"/>
          <w:szCs w:val="15"/>
        </w:rPr>
        <w:t xml:space="preserve">Konečný užívateľ výhod (KUV) je fyzická osoba, ktorá klienta skutočne vlastní alebo ovláda, najmä ak má priamo alebo nepriamo aspoň 25 % hlasovacích práv, základného imania alebo podielu na zisku, alebo môže vymenovať či odvolať štatutárny orgán. Ak takú osobu nemožno určiť, uveďte vrcholový manažment (štatutárny orgán).</w:t>
      </w: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Klient je SZČO alebo fyzická osoba – konečným užívateľom výhod je klient sám (tabuľku nevypĺňajte).</w:t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8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380"/>
        <w:gridCol w:w="2300"/>
        <w:gridCol w:w="1400"/>
        <w:gridCol w:w="2384"/>
        <w:gridCol w:w="2100"/>
        <w:gridCol w:w="1300"/>
      </w:tblGrid>
      <w:tr>
        <w:trPr>
          <w:cantSplit/>
          <w:tblHeader/>
        </w:trPr>
        <w:tc>
          <w:tcPr>
            <w:tcW w:type="dxa" w:w="38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#</w:t>
            </w:r>
          </w:p>
        </w:tc>
        <w:tc>
          <w:tcPr>
            <w:tcW w:type="dxa" w:w="2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Meno a priezvisko</w:t>
            </w:r>
          </w:p>
        </w:tc>
        <w:tc>
          <w:tcPr>
            <w:tcW w:type="dxa" w:w="14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Dátum narodenia</w:t>
            </w:r>
          </w:p>
        </w:tc>
        <w:tc>
          <w:tcPr>
            <w:tcW w:type="dxa" w:w="238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Štátna príslušnosť a bydlisko</w:t>
            </w:r>
          </w:p>
        </w:tc>
        <w:tc>
          <w:tcPr>
            <w:tcW w:type="dxa" w:w="21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Podiel alebo spôsob kontroly</w:t>
            </w:r>
          </w:p>
        </w:tc>
        <w:tc>
          <w:tcPr>
            <w:tcW w:type="dxa" w:w="1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F5F7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PEP</w:t>
            </w:r>
          </w:p>
        </w:tc>
      </w:tr>
      <w:tr>
        <w:trPr>
          <w:cantSplit/>
          <w:trHeight w:val="600" w:hRule="atLeast"/>
        </w:trPr>
        <w:tc>
          <w:tcPr>
            <w:tcW w:type="dxa" w:w="38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1</w:t>
            </w:r>
          </w:p>
        </w:tc>
        <w:tc>
          <w:tcPr>
            <w:tcW w:type="dxa" w:w="2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38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  <w:tr>
        <w:trPr>
          <w:cantSplit/>
          <w:trHeight w:val="600" w:hRule="atLeast"/>
        </w:trPr>
        <w:tc>
          <w:tcPr>
            <w:tcW w:type="dxa" w:w="38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2</w:t>
            </w:r>
          </w:p>
        </w:tc>
        <w:tc>
          <w:tcPr>
            <w:tcW w:type="dxa" w:w="2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38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  <w:tr>
        <w:trPr>
          <w:cantSplit/>
          <w:trHeight w:val="600" w:hRule="atLeast"/>
        </w:trPr>
        <w:tc>
          <w:tcPr>
            <w:tcW w:type="dxa" w:w="38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3</w:t>
            </w:r>
          </w:p>
        </w:tc>
        <w:tc>
          <w:tcPr>
            <w:tcW w:type="dxa" w:w="2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38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</w:tbl>
    <w:p>
      <w:pPr>
        <w:pStyle w:val="Spacer"/>
        <w:spacing w:after="0" w:before="0"/>
      </w:pPr>
    </w:p>
    <w:p>
      <w:pPr>
        <w:spacing w:after="100" w:before="0"/>
      </w:pPr>
      <w:r>
        <w:rPr>
          <w:rFonts w:ascii="Arial" w:cs="Arial" w:eastAsia="Arial" w:hAnsi="Arial"/>
          <w:color w:val="374151"/>
          <w:sz w:val="15"/>
          <w:szCs w:val="15"/>
        </w:rPr>
        <w:t xml:space="preserve">Ak klienta vlastní iná spoločnosť, priložte schému vlastníckej štruktúry až po fyzické osoby.</w:t>
      </w:r>
    </w:p>
    <w:p>
      <w:pPr>
        <w:pStyle w:val="Spacer"/>
        <w:spacing w:after="0" w:before="26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Spolupráca s účtovnou kanceláriou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10 ods. 1 písm. c)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Služby, ktoré od kancelárie požadujete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podvojné účtovníctvo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jednoduché účtovníctvo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mzdy a personalistika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DPH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daňové priznanie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účtovná závierka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iné: ……………………</w:t>
            </w:r>
          </w:p>
        </w:tc>
      </w:tr>
      <w:tr>
        <w:trPr>
          <w:cantSplit/>
        </w:trPr>
        <w:tc>
          <w:tcPr>
            <w:tcW w:type="dxa" w:w="5754"/>
            <w:gridSpan w:val="7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Počet účtovných dokladov mesačne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do 50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50 – 300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nad 300</w:t>
            </w:r>
          </w:p>
        </w:tc>
        <w:tc>
          <w:tcPr>
            <w:tcW w:type="dxa" w:w="4110"/>
            <w:gridSpan w:val="5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Počet zamestnancov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Ročné tržby (obrat)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do 50 000 €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do 500 000 €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do 5 mil. €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nad 5 mil. €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Platby v hotovosti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takmer žiadne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bežná súčasť podnikania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vysoké – približne ……………… € ročne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Bankové účty klienta sú vedené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na Slovensku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v inej krajine EÚ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mimo EÚ – kde: ……………………</w:t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Krajiny mimo EÚ, s ktorými klient obchoduje (odberatelia, dodávatelia)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Spolupráca s kanceláriou prebieha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osobne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na diaľku (e-mail, online)</w:t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26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Pôvod finančných prostriedkov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10 ods. 1 písm. e)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Podnikanie klienta je financované najmä z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tržieb z vlastnej činnosti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vkladov spoločníkov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úveru alebo pôžičky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dotácie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dedičstva alebo daru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iné</w:t>
            </w:r>
          </w:p>
        </w:tc>
      </w:tr>
      <w:tr>
        <w:trPr>
          <w:cantSplit/>
          <w:trHeight w:val="832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Bližší popis (pri vyššom riziku si kancelária môže vyžiadať doklady)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pageBreakBefore/>
        <w:spacing w:after="0" w:before="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PEP, sankcie a rizikové krajiny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6, § 10 ods. 1 písm. d) a f), § 12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10"/>
            </w:pPr>
            <w:r>
              <w:rPr>
                <w:rFonts w:ascii="Arial" w:cs="Arial" w:eastAsia="Arial" w:hAnsi="Arial"/>
                <w:color w:val="111827"/>
                <w:sz w:val="16"/>
                <w:szCs w:val="16"/>
              </w:rPr>
              <w:t xml:space="preserve">Klient, osoba konajúca za klienta alebo niektorý konečný užívateľ výhod je politicky exponovaná osoba (napríklad poslanec, člen vlády, sudca najvyššieho súdu, veľvyslanec, člen orgánu štátneho podniku) alebo ňou bol v posledných 12 mesiacoch.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10"/>
            </w:pPr>
            <w:r>
              <w:rPr>
                <w:rFonts w:ascii="Arial" w:cs="Arial" w:eastAsia="Arial" w:hAnsi="Arial"/>
                <w:color w:val="111827"/>
                <w:sz w:val="16"/>
                <w:szCs w:val="16"/>
              </w:rPr>
              <w:t xml:space="preserve">Niektorá z týchto osôb je manžel, manželka, dieťa, zať, nevesta alebo rodič politicky exponovanej osoby, alebo je známe, že s ňou spoločne podniká.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10"/>
            </w:pPr>
            <w:r>
              <w:rPr>
                <w:rFonts w:ascii="Arial" w:cs="Arial" w:eastAsia="Arial" w:hAnsi="Arial"/>
                <w:color w:val="111827"/>
                <w:sz w:val="16"/>
                <w:szCs w:val="16"/>
              </w:rPr>
              <w:t xml:space="preserve">Voči klientovi, osobe konajúcej za klienta alebo konečnému užívateľovi výhod platia medzinárodné sankcie (SR, EÚ, OSN), alebo ich vlastní či ovláda sankcionovaná osoba.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10"/>
            </w:pPr>
            <w:r>
              <w:rPr>
                <w:rFonts w:ascii="Arial" w:cs="Arial" w:eastAsia="Arial" w:hAnsi="Arial"/>
                <w:color w:val="111827"/>
                <w:sz w:val="16"/>
                <w:szCs w:val="16"/>
              </w:rPr>
              <w:t xml:space="preserve">Klient alebo jeho konečný užívateľ výhod má sídlo či bydlisko vo vysokorizikovej krajine, alebo klient obchoduje s krajinou, voči ktorej platia medzinárodné sankcie.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10"/>
            </w:pPr>
            <w:r>
              <w:rPr>
                <w:rFonts w:ascii="Arial" w:cs="Arial" w:eastAsia="Arial" w:hAnsi="Arial"/>
                <w:color w:val="111827"/>
                <w:sz w:val="16"/>
                <w:szCs w:val="16"/>
              </w:rPr>
              <w:t xml:space="preserve">Klient koná vo vlastnom mene a na vlastný účet.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áno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nie – uveďte nižšie, v koho mene koná</w:t>
            </w:r>
          </w:p>
        </w:tc>
      </w:tr>
      <w:tr>
        <w:trPr>
          <w:cantSplit/>
          <w:trHeight w:val="936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Podrobnosti ku každej odpovedi „áno“ (pri poslednej otázke k odpovedi „nie“)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26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Prílohy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spacing w:after="0" w:before="2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kópia dokladu totožnosti osoby konajúcej za klienta (§ 19 ods. 1)</w:t>
            </w:r>
          </w:p>
          <w:p>
            <w:pPr>
              <w:spacing w:after="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plná moc splnomocnenca</w:t>
            </w:r>
          </w:p>
          <w:p>
            <w:pPr>
              <w:spacing w:after="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schéma vlastníckej štruktúry (ak klienta vlastní iná spoločnosť)</w:t>
            </w:r>
          </w:p>
          <w:p>
            <w:pPr>
              <w:spacing w:after="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doklady o pôvode prostriedkov (ak si ich kancelária vyžiada)</w:t>
            </w:r>
          </w:p>
          <w:p>
            <w:pPr>
              <w:spacing w:after="0" w:before="5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iné: ……………………………………………………</w:t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26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8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Vyhlásenie klienta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10 ods. 5, § 15, § 19, § 21 ods. 3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6B7280"/>
                <w:spacing w:val="20"/>
                <w:sz w:val="13"/>
                <w:szCs w:val="13"/>
              </w:rPr>
              <w:t xml:space="preserve">VYPLNÍ KLIENT</w:t>
            </w:r>
          </w:p>
        </w:tc>
      </w:tr>
    </w:tbl>
    <w:p>
      <w:pPr>
        <w:pStyle w:val="Spacer"/>
        <w:spacing w:after="0" w:before="100"/>
      </w:pP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Údaje v tomto dotazníku sú pravdivé, úplné a aktuálne.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Každú zmenu údajov, najmä zmenu konečného užívateľa výhod, štatutárneho orgánu alebo postavenia politicky exponovanej osoby, oznámim účtovnej kancelárii bez zbytočného odkladu.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Beriem na vedomie, že účtovná kancelária spracúva osobné údaje na účely ochrany pred legalizáciou príjmov z trestnej činnosti a financovaním terorizmu aj bez súhlasu dotknutých osôb, môže na tento účel kopírovať doklady totožnosti (§ 19 ods. 1 a § 21 ods. 3) a uchováva ich päť rokov od skončenia zmluvného vzťahu (§ 19 ods. 2).</w:t>
      </w:r>
    </w:p>
    <w:p>
      <w:pPr>
        <w:pStyle w:val="ListParagraph"/>
        <w:numPr>
          <w:ilvl w:val="0"/>
          <w:numId w:val="3"/>
        </w:numPr>
        <w:spacing w:after="160"/>
      </w:pPr>
      <w:r>
        <w:rPr>
          <w:rFonts w:ascii="Arial" w:cs="Arial" w:eastAsia="Arial" w:hAnsi="Arial"/>
          <w:color w:val="111827"/>
          <w:sz w:val="16"/>
          <w:szCs w:val="16"/>
        </w:rPr>
        <w:t xml:space="preserve">Beriem na vedomie, že ak potrebné informácie a doklady neposkytnem, účtovná kancelária musí spoluprácu odmietnuť alebo ukončiť (§ 15).</w:t>
      </w: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  <w:trHeight w:val="884" w:hRule="atLeast"/>
        </w:trPr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Miesto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2466"/>
            <w:gridSpan w:val="3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Dátum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4110"/>
            <w:gridSpan w:val="5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Meno, funkcia a podpis klienta alebo osoby konajúcej za klienta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pageBreakBefore/>
        <w:spacing w:after="0" w:before="0"/>
      </w:pPr>
    </w:p>
    <w:tbl>
      <w:tblPr>
        <w:tblW w:type="dxa" w:w="986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6644"/>
        <w:gridCol w:w="2700"/>
      </w:tblGrid>
      <w:tr>
        <w:trPr>
          <w:cantSplit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shd w:fill="1F2A44" w:color="auto" w:val="clear"/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9</w:t>
            </w:r>
          </w:p>
        </w:tc>
        <w:tc>
          <w:tcPr>
            <w:tcW w:type="dxa" w:w="6644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0"/>
            </w:tcMar>
            <w:vAlign w:val="center"/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A44"/>
                <w:sz w:val="21"/>
                <w:szCs w:val="21"/>
              </w:rPr>
              <w:t xml:space="preserve">Záznam účtovnej kancelárie</w:t>
            </w: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   § 8, § 10, § 12, § 20a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A44" w:sz="12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keepNext/>
              <w:jc w:val="right"/>
            </w:pPr>
            <w:r>
              <w:rPr>
                <w:rFonts w:ascii="Arial" w:cs="Arial" w:eastAsia="Arial" w:hAnsi="Arial"/>
                <w:b/>
                <w:bCs/>
                <w:color w:val="2952CC"/>
                <w:spacing w:val="20"/>
                <w:sz w:val="13"/>
                <w:szCs w:val="13"/>
              </w:rPr>
              <w:t xml:space="preserve">VYPLNÍ ÚČTOVNÁ KANCELÁRIA</w:t>
            </w:r>
          </w:p>
        </w:tc>
      </w:tr>
    </w:tbl>
    <w:p>
      <w:pPr>
        <w:pStyle w:val="Spacer"/>
        <w:spacing w:after="0" w:before="10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  <w:trHeight w:val="520" w:hRule="atLeast"/>
        </w:trPr>
        <w:tc>
          <w:tcPr>
            <w:tcW w:type="dxa" w:w="6576"/>
            <w:gridSpan w:val="8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Údaje prevzal a identifikáciu vykonal (meno)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Dátum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Overenie totožnosti osoby konajúcej za klienta (§ 8)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osobne podľa dokladu totožnosti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na diaľku technickými prostriedkami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Údaje klienta overené z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obchodný register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živnostenský register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register právnických osôb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iné</w:t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Konečný užívateľ výhod overený zo spoľahlivých zdrojov (§ 10 ods. 1 písm. b))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obchodný register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RPVS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dokumenty klienta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iné</w:t>
            </w:r>
          </w:p>
        </w:tc>
      </w:tr>
      <w:tr>
        <w:trPr>
          <w:cantSplit/>
        </w:trPr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Preverenie v sankčných zoznamoch a PEP: dátum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4110"/>
            <w:gridSpan w:val="5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Výsledok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bez zhody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zhoda – pozri poznámky</w:t>
            </w:r>
          </w:p>
        </w:tc>
        <w:tc>
          <w:tcPr>
            <w:tcW w:type="dxa" w:w="2466"/>
            <w:gridSpan w:val="3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ID dokladu o preverení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32"/>
            <w:gridSpan w:val="6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Rizikový profil klienta (§ 20a)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nízky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stredný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vysoký</w:t>
            </w:r>
          </w:p>
        </w:tc>
        <w:tc>
          <w:tcPr>
            <w:tcW w:type="dxa" w:w="4932"/>
            <w:gridSpan w:val="6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Hlavné rizikové faktory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Uplatnená starostlivosť</w:t>
            </w:r>
          </w:p>
          <w:p>
            <w:pPr>
              <w:keepLines/>
              <w:spacing w:after="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zjednodušená (§ 11)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základná (§ 10)</w:t>
            </w:r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> zvýšená (§ 12)</w:t>
            </w:r>
          </w:p>
        </w:tc>
      </w:tr>
      <w:tr>
        <w:trPr>
          <w:cantSplit/>
          <w:trHeight w:val="520" w:hRule="atLeast"/>
        </w:trPr>
        <w:tc>
          <w:tcPr>
            <w:tcW w:type="dxa" w:w="9864"/>
            <w:gridSpan w:val="12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Súhlas štatutárneho orgánu so vzťahom s PEP alebo s klientom z vysokorizikovej krajiny (§ 12 ods. 2): meno a dátum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936" w:hRule="atLeast"/>
        </w:trPr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Najbližšia aktualizácia údajov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6576"/>
            <w:gridSpan w:val="8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Poznámky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</w:tbl>
    <w:p>
      <w:pPr>
        <w:pStyle w:val="Spacer"/>
        <w:spacing w:after="0" w:before="0"/>
      </w:pPr>
    </w:p>
    <w:p>
      <w:pPr>
        <w:pStyle w:val="Spacer"/>
        <w:spacing w:after="0" w:before="240"/>
      </w:pPr>
    </w:p>
    <w:tbl>
      <w:tblPr>
        <w:tblW w:type="dxa" w:w="9864"/>
        <w:tblBorders>
          <w:top w:val="single" w:color="C5CBD3" w:sz="4"/>
          <w:left w:val="single" w:color="C5CBD3" w:sz="4"/>
          <w:bottom w:val="single" w:color="C5CBD3" w:sz="4"/>
          <w:right w:val="single" w:color="C5CBD3" w:sz="4"/>
          <w:insideH w:val="single" w:color="C5CBD3" w:sz="4"/>
          <w:insideV w:val="single" w:color="C5CBD3" w:sz="4"/>
        </w:tblBorders>
        <w:tblLayout w:type="fixed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cantSplit/>
          <w:trHeight w:val="884" w:hRule="atLeast"/>
        </w:trPr>
        <w:tc>
          <w:tcPr>
            <w:tcW w:type="dxa" w:w="6576"/>
            <w:gridSpan w:val="8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Meno a podpis zodpovednej osoby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  <w:tc>
          <w:tcPr>
            <w:tcW w:type="dxa" w:w="3288"/>
            <w:gridSpan w:val="4"/>
            <w:tcBorders>
              <w:top w:val="single" w:color="C5CBD3" w:sz="4"/>
              <w:left w:val="single" w:color="C5CBD3" w:sz="4"/>
              <w:bottom w:val="single" w:color="C5CBD3" w:sz="4"/>
              <w:right w:val="single" w:color="C5CBD3" w:sz="4"/>
            </w:tcBorders>
            <w:shd w:fill="EEF3FF" w:color="auto" w:val="clear"/>
            <w:tcMar>
              <w:top w:type="dxa" w:w="5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2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Dátum</w:t>
            </w:r>
          </w:p>
          <w:p>
            <w:r>
              <w:rPr>
                <w:rFonts w:ascii="Arial" w:cs="Arial" w:eastAsia="Arial" w:hAnsi="Arial"/>
                <w:color w:val="111827"/>
                <w:sz w:val="17"/>
                <w:szCs w:val="17"/>
              </w:rPr>
              <w:t xml:space="preserve"/>
            </w:r>
          </w:p>
        </w:tc>
      </w:tr>
    </w:tbl>
    <w:p>
      <w:pPr>
        <w:pStyle w:val="Spacer"/>
        <w:spacing w:after="0" w:before="0"/>
      </w:pPr>
    </w:p>
    <w:p>
      <w:pPr>
        <w:spacing w:before="360"/>
        <w:jc w:val="center"/>
      </w:pPr>
      <w:r>
        <w:rPr>
          <w:rFonts w:ascii="Arial" w:cs="Arial" w:eastAsia="Arial" w:hAnsi="Arial"/>
          <w:i/>
          <w:iCs/>
          <w:color w:val="6B7280"/>
          <w:sz w:val="14"/>
          <w:szCs w:val="14"/>
        </w:rPr>
        <w:t xml:space="preserve">Vzor pripravil Overklienta.sk. Upravte ho podľa svojho programu vlastnej činnosti (§ 20 zákona). Vzor nenahrádza právne poradenstvo.</w:t>
      </w:r>
    </w:p>
    <w:sectPr>
      <w:headerReference w:type="default" r:id="rId6"/>
      <w:footerReference w:type="default" r:id="rId7"/>
      <w:pgSz w:w="11906" w:h="16838" w:orient="portrait"/>
      <w:pgMar w:top="1250" w:right="1021" w:bottom="1150" w:left="1021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CBD3" w:sz="6" w:space="4"/>
      </w:pBdr>
      <w:tabs>
        <w:tab w:val="right" w:pos="9864"/>
      </w:tabs>
    </w:pPr>
    <w:r>
      <w:rPr>
        <w:rFonts w:ascii="Arial" w:cs="Arial" w:eastAsia="Arial" w:hAnsi="Arial"/>
        <w:color w:val="6B7280"/>
        <w:sz w:val="13"/>
        <w:szCs w:val="13"/>
      </w:rPr>
      <w:t xml:space="preserve">Vzor: Overklienta.sk · zákon č. 297/2008 Z. z. · verzia 11/2026</w:t>
    </w:r>
    <w:r>
      <w:rPr>
        <w:rFonts w:ascii="Arial" w:cs="Arial" w:eastAsia="Arial" w:hAnsi="Arial"/>
        <w:color w:val="6B7280"/>
        <w:sz w:val="13"/>
        <w:szCs w:val="13"/>
      </w:rPr>
      <w:tab/>
      <w:t xml:space="preserve">Strana </w:t>
    </w:r>
    <w:r>
      <w:rPr>
        <w:rFonts w:ascii="Arial" w:cs="Arial" w:eastAsia="Arial" w:hAnsi="Arial"/>
        <w:color w:val="6B7280"/>
        <w:sz w:val="13"/>
        <w:szCs w:val="13"/>
      </w:rPr>
      <w:fldChar w:fldCharType="begin"/>
    </w:r>
    <w:r>
      <w:rPr>
        <w:rFonts w:ascii="Arial" w:cs="Arial" w:eastAsia="Arial" w:hAnsi="Arial"/>
        <w:color w:val="6B7280"/>
        <w:sz w:val="13"/>
        <w:szCs w:val="13"/>
      </w:rPr>
      <w:instrText xml:space="preserve">PAGE</w:instrText>
    </w:r>
    <w:r>
      <w:rPr>
        <w:rFonts w:ascii="Arial" w:cs="Arial" w:eastAsia="Arial" w:hAnsi="Arial"/>
        <w:color w:val="6B7280"/>
        <w:sz w:val="13"/>
        <w:szCs w:val="13"/>
      </w:rPr>
      <w:fldChar w:fldCharType="separate"/>
    </w:r>
    <w:r>
      <w:rPr>
        <w:rFonts w:ascii="Arial" w:cs="Arial" w:eastAsia="Arial" w:hAnsi="Arial"/>
        <w:color w:val="6B7280"/>
        <w:sz w:val="13"/>
        <w:szCs w:val="13"/>
      </w:rPr>
      <w:fldChar w:fldCharType="end"/>
    </w:r>
    <w:r>
      <w:rPr>
        <w:rFonts w:ascii="Arial" w:cs="Arial" w:eastAsia="Arial" w:hAnsi="Arial"/>
        <w:color w:val="6B7280"/>
        <w:sz w:val="13"/>
        <w:szCs w:val="13"/>
      </w:rPr>
      <w:t xml:space="preserve"> z </w:t>
    </w:r>
    <w:r>
      <w:rPr>
        <w:rFonts w:ascii="Arial" w:cs="Arial" w:eastAsia="Arial" w:hAnsi="Arial"/>
        <w:color w:val="6B7280"/>
        <w:sz w:val="13"/>
        <w:szCs w:val="13"/>
      </w:rPr>
      <w:fldChar w:fldCharType="begin"/>
    </w:r>
    <w:r>
      <w:rPr>
        <w:rFonts w:ascii="Arial" w:cs="Arial" w:eastAsia="Arial" w:hAnsi="Arial"/>
        <w:color w:val="6B7280"/>
        <w:sz w:val="13"/>
        <w:szCs w:val="13"/>
      </w:rPr>
      <w:instrText xml:space="preserve">NUMPAGES</w:instrText>
    </w:r>
    <w:r>
      <w:rPr>
        <w:rFonts w:ascii="Arial" w:cs="Arial" w:eastAsia="Arial" w:hAnsi="Arial"/>
        <w:color w:val="6B7280"/>
        <w:sz w:val="13"/>
        <w:szCs w:val="13"/>
      </w:rPr>
      <w:fldChar w:fldCharType="separate"/>
    </w:r>
    <w:r>
      <w:rPr>
        <w:rFonts w:ascii="Arial" w:cs="Arial" w:eastAsia="Arial" w:hAnsi="Arial"/>
        <w:color w:val="6B7280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CBD3" w:sz="6" w:space="4"/>
      </w:pBdr>
      <w:tabs>
        <w:tab w:val="right" w:pos="9864"/>
      </w:tabs>
    </w:pPr>
    <w:r>
      <w:rPr>
        <w:rFonts w:ascii="Arial" w:cs="Arial" w:eastAsia="Arial" w:hAnsi="Arial"/>
        <w:b/>
        <w:bCs/>
        <w:color w:val="1F2A44"/>
        <w:spacing w:val="30"/>
        <w:sz w:val="14"/>
        <w:szCs w:val="14"/>
      </w:rPr>
      <w:t xml:space="preserve">AML DOTAZNÍK · KLIENT ÚČTOVNEJ KANCELÁRIE</w:t>
    </w:r>
    <w:r>
      <w:rPr>
        <w:rFonts w:ascii="Arial" w:cs="Arial" w:eastAsia="Arial" w:hAnsi="Arial"/>
        <w:color w:val="6B7280"/>
        <w:sz w:val="14"/>
        <w:szCs w:val="14"/>
      </w:rPr>
      <w:tab/>
      <w:t xml:space="preserve">Číslo klienta: ……………………………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  <w:rPr>
        <w:color w:val="2952CC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40" w:hanging="340"/>
      </w:pPr>
      <w:rPr>
        <w:b/>
        <w:bCs/>
        <w:color w:val="1F2A44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Spacer">
    <w:name w:val="Spacer"/>
    <w:pPr>
      <w:spacing w:after="0" w:before="0" w:line="80" w:lineRule="exact"/>
    </w:pPr>
    <w:rPr>
      <w:sz w:val="4"/>
      <w:szCs w:val="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AML dotazník pre klientov účtovnej kancelárie</dc:title>
  <dc:creator>Overklienta.sk</dc:creator>
  <cp:lastModifiedBy>Un-named</cp:lastModifiedBy>
  <cp:revision>1</cp:revision>
  <dcterms:created xsi:type="dcterms:W3CDTF">2026-11-07T08:29:35.931Z</dcterms:created>
  <dcterms:modified xsi:type="dcterms:W3CDTF">2026-11-07T08:29:35.931Z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